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7D4" w:rsidRPr="003B47D4" w:rsidRDefault="003B47D4" w:rsidP="003B47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7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A56393" wp14:editId="6BE9BBB1">
            <wp:extent cx="3810000" cy="2895600"/>
            <wp:effectExtent l="0" t="0" r="0" b="0"/>
            <wp:docPr id="1" name="Рисунок 1" descr="http://elizavetinka.nso.ru/sites/elizavetinka.nso.ru/wodby_files/files/styles/image_without_gallery/public/news/2019/02/image.jpg?itok=enENc2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lizavetinka.nso.ru/sites/elizavetinka.nso.ru/wodby_files/files/styles/image_without_gallery/public/news/2019/02/image.jpg?itok=enENc2q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7D4" w:rsidRPr="003B47D4" w:rsidRDefault="003B47D4" w:rsidP="003B47D4">
      <w:pPr>
        <w:shd w:val="clear" w:color="auto" w:fill="FFFFFF"/>
        <w:spacing w:after="315" w:line="390" w:lineRule="atLeast"/>
        <w:jc w:val="center"/>
        <w:rPr>
          <w:rFonts w:ascii="Segoe UI" w:eastAsia="Times New Roman" w:hAnsi="Segoe UI" w:cs="Segoe UI"/>
          <w:color w:val="3F4758"/>
          <w:sz w:val="27"/>
          <w:szCs w:val="27"/>
          <w:lang w:eastAsia="ru-RU"/>
        </w:rPr>
      </w:pPr>
      <w:r w:rsidRPr="003B47D4"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>Оплата услуги регионального оператора по обращению с твердыми коммунальными отходами осуществляется следующими способами:</w:t>
      </w:r>
    </w:p>
    <w:tbl>
      <w:tblPr>
        <w:tblW w:w="15450" w:type="dxa"/>
        <w:tblInd w:w="-4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4"/>
        <w:gridCol w:w="3783"/>
        <w:gridCol w:w="2214"/>
        <w:gridCol w:w="6279"/>
      </w:tblGrid>
      <w:tr w:rsidR="003B47D4" w:rsidRPr="003B47D4" w:rsidTr="003B47D4">
        <w:trPr>
          <w:trHeight w:val="420"/>
        </w:trPr>
        <w:tc>
          <w:tcPr>
            <w:tcW w:w="3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b/>
                <w:bCs/>
                <w:color w:val="3F4758"/>
                <w:sz w:val="24"/>
                <w:szCs w:val="24"/>
                <w:u w:val="single"/>
                <w:lang w:eastAsia="ru-RU"/>
              </w:rPr>
              <w:t>Агент по приему платежей</w:t>
            </w:r>
          </w:p>
        </w:tc>
        <w:tc>
          <w:tcPr>
            <w:tcW w:w="3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b/>
                <w:bCs/>
                <w:color w:val="3F4758"/>
                <w:sz w:val="24"/>
                <w:szCs w:val="24"/>
                <w:u w:val="single"/>
                <w:lang w:eastAsia="ru-RU"/>
              </w:rPr>
              <w:t>Форма оплаты услуги</w:t>
            </w:r>
          </w:p>
        </w:tc>
        <w:tc>
          <w:tcPr>
            <w:tcW w:w="3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b/>
                <w:bCs/>
                <w:color w:val="3F4758"/>
                <w:sz w:val="24"/>
                <w:szCs w:val="24"/>
                <w:u w:val="single"/>
                <w:lang w:eastAsia="ru-RU"/>
              </w:rPr>
              <w:t>Комиссионный сбор</w:t>
            </w:r>
          </w:p>
        </w:tc>
        <w:tc>
          <w:tcPr>
            <w:tcW w:w="4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b/>
                <w:bCs/>
                <w:color w:val="3F4758"/>
                <w:sz w:val="24"/>
                <w:szCs w:val="24"/>
                <w:u w:val="single"/>
                <w:lang w:eastAsia="ru-RU"/>
              </w:rPr>
              <w:t>Перечень пунктов приема (отделений)</w:t>
            </w:r>
          </w:p>
        </w:tc>
      </w:tr>
      <w:tr w:rsidR="003B47D4" w:rsidRPr="003B47D4" w:rsidTr="003B47D4">
        <w:trPr>
          <w:trHeight w:val="690"/>
        </w:trPr>
        <w:tc>
          <w:tcPr>
            <w:tcW w:w="349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bookmarkStart w:id="0" w:name="_GoBack"/>
            <w:r w:rsidRPr="003B47D4">
              <w:rPr>
                <w:rFonts w:ascii="Segoe UI" w:eastAsia="Times New Roman" w:hAnsi="Segoe UI" w:cs="Segoe UI"/>
                <w:b/>
                <w:bCs/>
                <w:color w:val="3F4758"/>
                <w:sz w:val="24"/>
                <w:szCs w:val="24"/>
                <w:lang w:eastAsia="ru-RU"/>
              </w:rPr>
              <w:t xml:space="preserve">1. АО </w:t>
            </w:r>
            <w:proofErr w:type="spellStart"/>
            <w:r w:rsidRPr="003B47D4">
              <w:rPr>
                <w:rFonts w:ascii="Segoe UI" w:eastAsia="Times New Roman" w:hAnsi="Segoe UI" w:cs="Segoe UI"/>
                <w:b/>
                <w:bCs/>
                <w:color w:val="3F4758"/>
                <w:sz w:val="24"/>
                <w:szCs w:val="24"/>
                <w:lang w:eastAsia="ru-RU"/>
              </w:rPr>
              <w:t>Новосибирскэнергосбыт</w:t>
            </w:r>
            <w:proofErr w:type="spellEnd"/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1) Мобильное приложение «</w:t>
            </w:r>
            <w:proofErr w:type="spellStart"/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Платосфера</w:t>
            </w:r>
            <w:proofErr w:type="spellEnd"/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без взимания комиссии с потребителя</w:t>
            </w:r>
          </w:p>
        </w:tc>
        <w:tc>
          <w:tcPr>
            <w:tcW w:w="44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Сайт «</w:t>
            </w:r>
            <w:proofErr w:type="spellStart"/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Новосибирскэнергосбыт</w:t>
            </w:r>
            <w:proofErr w:type="spellEnd"/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»</w:t>
            </w:r>
          </w:p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hyperlink r:id="rId6" w:history="1">
              <w:r w:rsidRPr="003B47D4">
                <w:rPr>
                  <w:rFonts w:ascii="Segoe UI" w:eastAsia="Times New Roman" w:hAnsi="Segoe UI" w:cs="Segoe UI"/>
                  <w:color w:val="669AE6"/>
                  <w:sz w:val="24"/>
                  <w:szCs w:val="24"/>
                  <w:u w:val="single"/>
                  <w:lang w:eastAsia="ru-RU"/>
                </w:rPr>
                <w:t>https://www.nskes.ru/fizicheskim-litsam/</w:t>
              </w:r>
            </w:hyperlink>
          </w:p>
        </w:tc>
      </w:tr>
      <w:bookmarkEnd w:id="0"/>
      <w:tr w:rsidR="003B47D4" w:rsidRPr="003B47D4" w:rsidTr="003B47D4">
        <w:trPr>
          <w:trHeight w:val="6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2) Сайт «</w:t>
            </w:r>
            <w:proofErr w:type="spellStart"/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Новосибирскэнергосбыт</w:t>
            </w:r>
            <w:proofErr w:type="spellEnd"/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»</w:t>
            </w:r>
          </w:p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hyperlink r:id="rId7" w:history="1">
              <w:r w:rsidRPr="003B47D4">
                <w:rPr>
                  <w:rFonts w:ascii="Segoe UI" w:eastAsia="Times New Roman" w:hAnsi="Segoe UI" w:cs="Segoe UI"/>
                  <w:color w:val="669AE6"/>
                  <w:sz w:val="24"/>
                  <w:szCs w:val="24"/>
                  <w:u w:val="single"/>
                  <w:lang w:eastAsia="ru-RU"/>
                </w:rPr>
                <w:t>https://www.nskes.ru/fizicheskim-litsam/</w:t>
              </w:r>
            </w:hyperlink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2% от суммы платежа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</w:p>
        </w:tc>
      </w:tr>
      <w:tr w:rsidR="003B47D4" w:rsidRPr="003B47D4" w:rsidTr="003B47D4">
        <w:trPr>
          <w:trHeight w:val="705"/>
        </w:trPr>
        <w:tc>
          <w:tcPr>
            <w:tcW w:w="349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b/>
                <w:bCs/>
                <w:color w:val="3F4758"/>
                <w:sz w:val="24"/>
                <w:szCs w:val="24"/>
                <w:lang w:eastAsia="ru-RU"/>
              </w:rPr>
              <w:lastRenderedPageBreak/>
              <w:t>2. ПАО «Сбербанк России»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 xml:space="preserve">1) Сбербанк Онлайн, Мобильный банк, </w:t>
            </w:r>
            <w:proofErr w:type="spellStart"/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автоплатеж</w:t>
            </w:r>
            <w:proofErr w:type="spellEnd"/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1% от суммы платежа</w:t>
            </w:r>
          </w:p>
        </w:tc>
        <w:tc>
          <w:tcPr>
            <w:tcW w:w="44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Перечень отделений и банкоматов Сбербанка: </w:t>
            </w:r>
            <w:hyperlink r:id="rId8" w:history="1">
              <w:r w:rsidRPr="003B47D4">
                <w:rPr>
                  <w:rFonts w:ascii="Segoe UI" w:eastAsia="Times New Roman" w:hAnsi="Segoe UI" w:cs="Segoe UI"/>
                  <w:color w:val="669AE6"/>
                  <w:sz w:val="24"/>
                  <w:szCs w:val="24"/>
                  <w:u w:val="single"/>
                  <w:lang w:eastAsia="ru-RU"/>
                </w:rPr>
                <w:t>https://www.sberbank.ru/ru/about/today/oib</w:t>
              </w:r>
            </w:hyperlink>
          </w:p>
        </w:tc>
      </w:tr>
      <w:tr w:rsidR="003B47D4" w:rsidRPr="003B47D4" w:rsidTr="003B47D4">
        <w:trPr>
          <w:trHeight w:val="6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2) В банкомате Сбербанка с карты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1% от суммы платежа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</w:p>
        </w:tc>
      </w:tr>
      <w:tr w:rsidR="003B47D4" w:rsidRPr="003B47D4" w:rsidTr="003B47D4">
        <w:trPr>
          <w:trHeight w:val="70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3) В банкомате Сбербанка наличными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2% от суммы платежа, минимум 20 руб.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</w:p>
        </w:tc>
      </w:tr>
      <w:tr w:rsidR="003B47D4" w:rsidRPr="003B47D4" w:rsidTr="003B47D4">
        <w:trPr>
          <w:trHeight w:val="70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4) В кассе Сбербанка с карты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2,5% от суммы платежа, минимум 25 руб.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</w:p>
        </w:tc>
      </w:tr>
      <w:tr w:rsidR="003B47D4" w:rsidRPr="003B47D4" w:rsidTr="003B47D4">
        <w:trPr>
          <w:trHeight w:val="70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5) В кассе Сбербанка наличными</w:t>
            </w:r>
          </w:p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3% от суммы платежа, минимум 30 руб.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</w:p>
        </w:tc>
      </w:tr>
      <w:tr w:rsidR="003B47D4" w:rsidRPr="003B47D4" w:rsidTr="003B47D4">
        <w:trPr>
          <w:trHeight w:val="690"/>
        </w:trPr>
        <w:tc>
          <w:tcPr>
            <w:tcW w:w="349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b/>
                <w:bCs/>
                <w:color w:val="3F4758"/>
                <w:sz w:val="24"/>
                <w:szCs w:val="24"/>
                <w:lang w:eastAsia="ru-RU"/>
              </w:rPr>
              <w:t>3. Федеральная Система «Город»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1) Через платежный кабинет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1% от суммы платежа</w:t>
            </w:r>
          </w:p>
        </w:tc>
        <w:tc>
          <w:tcPr>
            <w:tcW w:w="44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Адреса пунктов оплаты Федеральной Системы «Город»:</w:t>
            </w: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shd w:val="clear" w:color="auto" w:fill="00FFFF"/>
                <w:lang w:eastAsia="ru-RU"/>
              </w:rPr>
              <w:t>*</w:t>
            </w:r>
          </w:p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shd w:val="clear" w:color="auto" w:fill="00FFFF"/>
                <w:lang w:eastAsia="ru-RU"/>
              </w:rPr>
              <w:t>(ссылка см. ниже)</w:t>
            </w:r>
          </w:p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 </w:t>
            </w:r>
          </w:p>
        </w:tc>
      </w:tr>
      <w:tr w:rsidR="003B47D4" w:rsidRPr="003B47D4" w:rsidTr="003B47D4">
        <w:trPr>
          <w:trHeight w:val="7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2) В кассе субагентов и агентов Системы «Город» наличными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3% от суммы платежа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</w:p>
        </w:tc>
      </w:tr>
      <w:tr w:rsidR="003B47D4" w:rsidRPr="003B47D4" w:rsidTr="003B47D4">
        <w:tc>
          <w:tcPr>
            <w:tcW w:w="349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b/>
                <w:bCs/>
                <w:color w:val="3F4758"/>
                <w:sz w:val="24"/>
                <w:szCs w:val="24"/>
                <w:lang w:eastAsia="ru-RU"/>
              </w:rPr>
              <w:t>4. ФГУП «Почта России»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proofErr w:type="gramStart"/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1) В отделениях «Почта России» г. Новосибирска, г. Бердска, г. </w:t>
            </w:r>
            <w:proofErr w:type="spellStart"/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Искитима</w:t>
            </w:r>
            <w:proofErr w:type="spellEnd"/>
            <w:proofErr w:type="gramEnd"/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 xml:space="preserve">в размере 2 % от суммы платежа в г. Новосибирске, в г. Бердске, в г. </w:t>
            </w:r>
            <w:proofErr w:type="spellStart"/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Искитиме</w:t>
            </w:r>
            <w:proofErr w:type="gramStart"/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,н</w:t>
            </w:r>
            <w:proofErr w:type="gramEnd"/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о</w:t>
            </w:r>
            <w:proofErr w:type="spellEnd"/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 xml:space="preserve"> не менее 15 руб.</w:t>
            </w:r>
          </w:p>
        </w:tc>
        <w:tc>
          <w:tcPr>
            <w:tcW w:w="44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Перечень отделений «Почта России»: </w:t>
            </w:r>
            <w:hyperlink r:id="rId9" w:history="1">
              <w:r w:rsidRPr="003B47D4">
                <w:rPr>
                  <w:rFonts w:ascii="Segoe UI" w:eastAsia="Times New Roman" w:hAnsi="Segoe UI" w:cs="Segoe UI"/>
                  <w:color w:val="669AE6"/>
                  <w:sz w:val="24"/>
                  <w:szCs w:val="24"/>
                  <w:u w:val="single"/>
                  <w:lang w:eastAsia="ru-RU"/>
                </w:rPr>
                <w:t>https://www.pochta.ru/offices</w:t>
              </w:r>
            </w:hyperlink>
          </w:p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 </w:t>
            </w:r>
          </w:p>
        </w:tc>
      </w:tr>
      <w:tr w:rsidR="003B47D4" w:rsidRPr="003B47D4" w:rsidTr="003B47D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>2) В отделениях «Почта России» по Новосибирской области кроме г. Новосибирска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7D4" w:rsidRPr="003B47D4" w:rsidRDefault="003B47D4" w:rsidP="003B47D4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t xml:space="preserve">в размере 4 % от суммы платежа в иных населенных пунктах </w:t>
            </w:r>
            <w:r w:rsidRPr="003B47D4"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  <w:lastRenderedPageBreak/>
              <w:t>Новосибирской области, но не менее 15 руб.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B47D4" w:rsidRPr="003B47D4" w:rsidRDefault="003B47D4" w:rsidP="003B47D4">
            <w:pPr>
              <w:spacing w:after="0" w:line="240" w:lineRule="auto"/>
              <w:rPr>
                <w:rFonts w:ascii="Segoe UI" w:eastAsia="Times New Roman" w:hAnsi="Segoe UI" w:cs="Segoe UI"/>
                <w:color w:val="3F4758"/>
                <w:sz w:val="24"/>
                <w:szCs w:val="24"/>
                <w:lang w:eastAsia="ru-RU"/>
              </w:rPr>
            </w:pPr>
          </w:p>
        </w:tc>
      </w:tr>
    </w:tbl>
    <w:p w:rsidR="003B47D4" w:rsidRPr="003B47D4" w:rsidRDefault="003B47D4" w:rsidP="003B47D4">
      <w:pPr>
        <w:shd w:val="clear" w:color="auto" w:fill="FFFFFF"/>
        <w:spacing w:after="315" w:line="390" w:lineRule="atLeast"/>
        <w:ind w:left="-142"/>
        <w:rPr>
          <w:rFonts w:ascii="Segoe UI" w:eastAsia="Times New Roman" w:hAnsi="Segoe UI" w:cs="Segoe UI"/>
          <w:color w:val="3F4758"/>
          <w:sz w:val="27"/>
          <w:szCs w:val="27"/>
          <w:lang w:eastAsia="ru-RU"/>
        </w:rPr>
      </w:pPr>
      <w:r w:rsidRPr="003B47D4">
        <w:rPr>
          <w:rFonts w:ascii="Segoe UI" w:eastAsia="Times New Roman" w:hAnsi="Segoe UI" w:cs="Segoe UI"/>
          <w:color w:val="3F4758"/>
          <w:sz w:val="27"/>
          <w:szCs w:val="27"/>
          <w:shd w:val="clear" w:color="auto" w:fill="00FFFF"/>
          <w:lang w:eastAsia="ru-RU"/>
        </w:rPr>
        <w:lastRenderedPageBreak/>
        <w:t>*</w:t>
      </w:r>
      <w:r w:rsidRPr="003B47D4">
        <w:rPr>
          <w:rFonts w:ascii="Segoe UI" w:eastAsia="Times New Roman" w:hAnsi="Segoe UI" w:cs="Segoe UI"/>
          <w:color w:val="3F4758"/>
          <w:sz w:val="27"/>
          <w:szCs w:val="27"/>
          <w:lang w:eastAsia="ru-RU"/>
        </w:rPr>
        <w:t>   </w:t>
      </w:r>
      <w:hyperlink r:id="rId10" w:anchor="type:all/company:all/method:bounds/bounds:53.68689408300641%2C77.7810600354004%2C54.90774183096802%2C80.85723191040037/" w:history="1">
        <w:r w:rsidRPr="003B47D4">
          <w:rPr>
            <w:rFonts w:ascii="Segoe UI" w:eastAsia="Times New Roman" w:hAnsi="Segoe UI" w:cs="Segoe UI"/>
            <w:color w:val="669AE6"/>
            <w:sz w:val="27"/>
            <w:szCs w:val="27"/>
            <w:u w:val="single"/>
            <w:lang w:eastAsia="ru-RU"/>
          </w:rPr>
          <w:t>https://www.kvartplata.ru/fsgmaps/Pages/default.aspx#type:all/company:all/method:bounds/bounds:53.68689408300641%2C77.7810600354004%2C54.90774183096802%2C80.85723191040037/</w:t>
        </w:r>
      </w:hyperlink>
    </w:p>
    <w:p w:rsidR="003B47D4" w:rsidRPr="003B47D4" w:rsidRDefault="003B47D4" w:rsidP="003B47D4">
      <w:pPr>
        <w:shd w:val="clear" w:color="auto" w:fill="FFF2CC"/>
        <w:spacing w:after="315" w:line="390" w:lineRule="atLeast"/>
        <w:ind w:left="-426"/>
        <w:jc w:val="center"/>
        <w:rPr>
          <w:rFonts w:ascii="Segoe UI" w:eastAsia="Times New Roman" w:hAnsi="Segoe UI" w:cs="Segoe UI"/>
          <w:color w:val="3F4758"/>
          <w:sz w:val="27"/>
          <w:szCs w:val="27"/>
          <w:lang w:eastAsia="ru-RU"/>
        </w:rPr>
      </w:pPr>
      <w:r w:rsidRPr="003B47D4"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>Реестры лицевых счетов, по населенным пунктам Новосибирской области опубликованы на сайте регионального оператора по ссылке:</w:t>
      </w:r>
    </w:p>
    <w:p w:rsidR="003B47D4" w:rsidRPr="003B47D4" w:rsidRDefault="003B47D4" w:rsidP="003B47D4">
      <w:pPr>
        <w:shd w:val="clear" w:color="auto" w:fill="FFFFFF"/>
        <w:spacing w:after="315" w:line="390" w:lineRule="atLeast"/>
        <w:ind w:left="-142"/>
        <w:rPr>
          <w:rFonts w:ascii="Segoe UI" w:eastAsia="Times New Roman" w:hAnsi="Segoe UI" w:cs="Segoe UI"/>
          <w:color w:val="3F4758"/>
          <w:sz w:val="27"/>
          <w:szCs w:val="27"/>
          <w:lang w:eastAsia="ru-RU"/>
        </w:rPr>
      </w:pPr>
      <w:hyperlink r:id="rId11" w:history="1">
        <w:r w:rsidRPr="003B47D4">
          <w:rPr>
            <w:rFonts w:ascii="Segoe UI" w:eastAsia="Times New Roman" w:hAnsi="Segoe UI" w:cs="Segoe UI"/>
            <w:color w:val="669AE6"/>
            <w:sz w:val="27"/>
            <w:szCs w:val="27"/>
            <w:u w:val="single"/>
            <w:lang w:eastAsia="ru-RU"/>
          </w:rPr>
          <w:t>https://ecologynsk.ru/news/83</w:t>
        </w:r>
      </w:hyperlink>
    </w:p>
    <w:p w:rsidR="00195B06" w:rsidRDefault="00195B06"/>
    <w:sectPr w:rsidR="00195B06" w:rsidSect="003B47D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5A3"/>
    <w:rsid w:val="00195B06"/>
    <w:rsid w:val="003B47D4"/>
    <w:rsid w:val="00D2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47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47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1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052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0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4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0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berbank.ru/ru/about/today/oi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skes.ru/fizicheskim-litsam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skes.ru/fizicheskim-litsam/" TargetMode="External"/><Relationship Id="rId11" Type="http://schemas.openxmlformats.org/officeDocument/2006/relationships/hyperlink" Target="https://ecologynsk.ru/news/83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kvartplata.ru/fsgmaps/Pages/default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chta.ru/offic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2019-02-27T09:56:00Z</dcterms:created>
  <dcterms:modified xsi:type="dcterms:W3CDTF">2019-02-27T09:59:00Z</dcterms:modified>
</cp:coreProperties>
</file>